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340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600" w:afterAutospacing="0"/>
        <w:ind w:left="0" w:right="0" w:firstLine="0"/>
        <w:jc w:val="center"/>
        <w:rPr>
          <w:rFonts w:ascii="title" w:hAnsi="title" w:eastAsia="title" w:cs="title"/>
          <w:b w:val="0"/>
          <w:bCs w:val="0"/>
          <w:i w:val="0"/>
          <w:iCs w:val="0"/>
          <w:caps w:val="0"/>
          <w:color w:val="333333"/>
          <w:spacing w:val="0"/>
          <w:sz w:val="42"/>
          <w:szCs w:val="42"/>
        </w:rPr>
      </w:pPr>
      <w:r>
        <w:rPr>
          <w:rFonts w:hint="default" w:ascii="title" w:hAnsi="title" w:eastAsia="title" w:cs="title"/>
          <w:b w:val="0"/>
          <w:bCs w:val="0"/>
          <w:i w:val="0"/>
          <w:iCs w:val="0"/>
          <w:caps w:val="0"/>
          <w:color w:val="333333"/>
          <w:spacing w:val="0"/>
          <w:sz w:val="42"/>
          <w:szCs w:val="42"/>
          <w:bdr w:val="none" w:color="auto" w:sz="0" w:space="0"/>
          <w:shd w:val="clear" w:fill="FFFFFF"/>
        </w:rPr>
        <w:t>国家发展改革委 财政部关于居民身份证收费标准及有关问题的通知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(发改价格〔2003〕2322号 2003年12月30日印发)</w:t>
      </w:r>
    </w:p>
    <w:p w14:paraId="06ECF5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1"/>
          <w:szCs w:val="31"/>
          <w:bdr w:val="none" w:color="auto" w:sz="0" w:space="0"/>
          <w:shd w:val="clear" w:fill="FFFFFF"/>
          <w:lang w:val="en-US" w:eastAsia="zh-CN" w:bidi="ar"/>
        </w:rPr>
        <w:t>公安部，各省、自治区、直辖市计委（发展改革委）、物价局、财政厅（局），新疆建设兵团物价局、财务局：</w:t>
      </w:r>
    </w:p>
    <w:p w14:paraId="281B97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公安部《关于核定第二代居民身份证证件工本费收费标准的函》（公治〔2003〕148号）收悉。经研究，现就第二代居民身份证收费标准等有关问题通知如下：</w:t>
      </w:r>
    </w:p>
    <w:p w14:paraId="7ABC69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一、考虑到第二代居民身份证采用非接触式集成电路技术、密码技术、防伪膜和辟线等印刷技术，使用了改性聚酯等环保材料，制作成本大幅度提高，因此，同意公安机关对申领、换领第二代居民身份证的居民收取工本费每证20元，对丢失补领或损坏换领第二代居民身份证的居民收取工本费每证40元。</w:t>
      </w:r>
    </w:p>
    <w:p w14:paraId="6A6362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公安机关为居民办理临时第二代居民身份证收费标准为每证10元。</w:t>
      </w:r>
    </w:p>
    <w:p w14:paraId="1CD885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二、上述收费标准仅适用于居民申领、换领及丢失补领、损坏换领第二代居民身份证和办理临时第二代居民身份证。居民申领、换领及丢失补领、损坏换领防伪居民身份证收费标准，仍按原国家计委、财政部《关于防伪居民身份证收费标准的通知》（计价格〔1995〕873号）规定执行。</w:t>
      </w:r>
    </w:p>
    <w:p w14:paraId="482AFC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三、收费单位应按规定到指定的价格主管部门办理收费许可证，并使用省、自治区、直辖市财政部门统一印制的收费票据。</w:t>
      </w:r>
    </w:p>
    <w:p w14:paraId="56DB77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四、收费单位要严格按照上述规定收费，不得擅自增加收费项目，扩大收费范围、提高收费标准或加收其他任何费用，并自觉接受价格、财政部门的监督检查。</w:t>
      </w:r>
    </w:p>
    <w:p w14:paraId="029AB8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五、上述规定自2004年1月1日起执行。</w:t>
      </w:r>
    </w:p>
    <w:p w14:paraId="20D15B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both"/>
        <w:rPr>
          <w:rFonts w:hint="eastAsia" w:ascii="仿宋" w:hAnsi="仿宋" w:eastAsia="仿宋" w:cs="仿宋"/>
          <w:color w:val="333333"/>
          <w:sz w:val="31"/>
          <w:szCs w:val="31"/>
        </w:rPr>
      </w:pPr>
    </w:p>
    <w:p w14:paraId="1830C0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70" w:lineRule="atLeast"/>
        <w:ind w:left="0" w:right="0" w:firstLine="420"/>
        <w:jc w:val="right"/>
        <w:rPr>
          <w:rFonts w:hint="eastAsia" w:ascii="仿宋" w:hAnsi="仿宋" w:eastAsia="仿宋" w:cs="仿宋"/>
          <w:color w:val="333333"/>
          <w:sz w:val="31"/>
          <w:szCs w:val="3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drawing>
          <wp:inline distT="0" distB="0" distL="114300" distR="114300">
            <wp:extent cx="1419225" cy="94297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A25B6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tl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D6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2025-12-22T02:33:04Z</dcterms:created>
  <dc:creator>Administrator</dc:creator>
  <cp:lastModifiedBy>Y.I care</cp:lastModifiedBy>
  <dcterms:modified xsi:type="dcterms:W3CDTF">2025-12-22T02:34:07Z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F8B10F459FD7462C8C86903CA4BE6932_12</vt:lpwstr>
  </property>
</Properties>
</file>